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ind w:left="-180" w:right="-450" w:firstLine="0"/>
        <w:rPr/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Кому: Руководителям сектора промышленности и торговли                        Тема: Подготовка к саммиту ООН по климату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ind w:left="-180" w:firstLine="18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Добро пожаловать на переговоры ООН по климату. Вы и лидеры других секторов были приглашены генеральным секретарем ООН, чтобы вместе найти эффективные методы борьбы с изменением климата.</w:t>
      </w:r>
    </w:p>
    <w:p w:rsidR="00000000" w:rsidDel="00000000" w:rsidP="00000000" w:rsidRDefault="00000000" w:rsidRPr="00000000" w14:paraId="00000003">
      <w:pPr>
        <w:spacing w:after="240" w:before="240" w:lineRule="auto"/>
        <w:ind w:left="-180" w:firstLine="18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Цель саммита — выработать план действий, который позволит удержать глобальное потепление на уровне менее 2°С по сравнению с доиндустриальными значениями, и стремиться к уровню 1,5°С. Данные целевые показатели официально зафиксированы в Парижском соглашении по климату. Результаты научных исследований говорят об одном: превышение этого уровня приведет к катастрофическим и необратимым последствиям, угрожающим здоровью, благополучию и даже жизни людей на всей планете.</w:t>
      </w:r>
    </w:p>
    <w:p w:rsidR="00000000" w:rsidDel="00000000" w:rsidP="00000000" w:rsidRDefault="00000000" w:rsidRPr="00000000" w14:paraId="00000004">
      <w:pPr>
        <w:spacing w:after="240" w:before="240" w:lineRule="auto"/>
        <w:ind w:left="-180" w:firstLine="18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И</w:t>
      </w:r>
    </w:p>
    <w:p w:rsidR="00000000" w:rsidDel="00000000" w:rsidP="00000000" w:rsidRDefault="00000000" w:rsidRPr="00000000" w14:paraId="00000005">
      <w:pPr>
        <w:spacing w:after="240" w:before="240" w:lineRule="auto"/>
        <w:ind w:left="-180" w:firstLine="18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u w:val="single"/>
          <w:rtl w:val="0"/>
        </w:rPr>
        <w:t xml:space="preserve">Приоритеты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вашей политики перечислены ниже. Тем не менее, вы можете предложить или заблокировать любые из имеющихся в модели мер:</w:t>
      </w:r>
    </w:p>
    <w:p w:rsidR="00000000" w:rsidDel="00000000" w:rsidP="00000000" w:rsidRDefault="00000000" w:rsidRPr="00000000" w14:paraId="00000006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1. Выступайте за низкие цены на энергию.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2185988</wp:posOffset>
            </wp:positionH>
            <wp:positionV relativeFrom="paragraph">
              <wp:posOffset>409575</wp:posOffset>
            </wp:positionV>
            <wp:extent cx="1857375" cy="695325"/>
            <wp:effectExtent b="0" l="0" r="0" t="0"/>
            <wp:wrapSquare wrapText="bothSides" distB="114300" distT="114300" distL="114300" distR="11430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Повышение стоимости энергии приведет к повышению цен на вашу продукцию, что в свою очередь вызовет снижение спроса. Стремитесь удержать цены на энергию на низком уровне, выступая против налогов на энергию и высокой цены на углерод и поддерживая энергетические субсидии. При обсуждении мер, которые предлагаете вы и другие группы, учитывайте, как они повлияют на стоимость энергии.</w:t>
      </w:r>
    </w:p>
    <w:p w:rsidR="00000000" w:rsidDel="00000000" w:rsidP="00000000" w:rsidRDefault="00000000" w:rsidRPr="00000000" w14:paraId="0000000B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2. Выступайте за значительное повышение энергоэффективности транспорта, недвижимости и промышленности.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2224088</wp:posOffset>
            </wp:positionH>
            <wp:positionV relativeFrom="paragraph">
              <wp:posOffset>152400</wp:posOffset>
            </wp:positionV>
            <wp:extent cx="1781175" cy="561975"/>
            <wp:effectExtent b="0" l="0" r="0" t="0"/>
            <wp:wrapSquare wrapText="bothSides" distB="114300" distT="114300" distL="114300" distR="11430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561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spacing w:after="240" w:befor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Энергоэффективность означает производство тех же товаров и услуг при меньших затратах энергии. Иногда повышение энергоэффективности может приводить к повышению затрат на инфраструктуру, однако оно способствует снижению операционных расходов, а это в свою очередь приводит к экономии в долгосрочной перспективе. Повышение энергоэффективности для снижения выбросов парниковых газов в вашем секторе может быть для вас заманчивой идеей. Тем не менее вы выступаете против регулирующих мер, которые потребуют радикального повышения энергоэффективности, поскольку вы стремитесь избежать резких и дорогостоящих изменений как в ваших производственных процессах, так и в ваших товарах и услугах.</w:t>
      </w:r>
    </w:p>
    <w:p w:rsidR="00000000" w:rsidDel="00000000" w:rsidP="00000000" w:rsidRDefault="00000000" w:rsidRPr="00000000" w14:paraId="00000012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3. Изучите возможности электрификации транспорта, недвижимости и промышленности.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2305050</wp:posOffset>
            </wp:positionH>
            <wp:positionV relativeFrom="paragraph">
              <wp:posOffset>447675</wp:posOffset>
            </wp:positionV>
            <wp:extent cx="1781175" cy="571500"/>
            <wp:effectExtent b="0" l="0" r="0" t="0"/>
            <wp:wrapSquare wrapText="bothSides" distB="114300" distT="114300" distL="114300" distR="114300"/>
            <wp:docPr id="5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571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4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ind w:left="-180" w:firstLine="18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Rule="auto"/>
        <w:ind w:left="-180" w:firstLine="18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 настоящий момент зависимость компаний транспортного сектора от нефти очень велика. Из нее производят топливо для легковых и грузовых автомобилей, кораблей, поездов и самолетов. Кроме того, основной объем выбросов парниковых газов, возникающих при эксплуатации недвижимости, приходится на производство тепловой энергии с использованием ископаемого топлива. В том случае, если транспорт, отопление и промышленные процессы будут электрифицированы, в конечном итоге их можно будет снабжать энергией из возобновляемых источников, — но только в том случае, если эти источники будут надежными и более дешевыми, чем энергия из ископаемого топлива.</w:t>
      </w:r>
    </w:p>
    <w:p w:rsidR="00000000" w:rsidDel="00000000" w:rsidP="00000000" w:rsidRDefault="00000000" w:rsidRPr="00000000" w14:paraId="00000018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4. Поддерживайте инициативы, которые не оказывают непосредственного влияния на ваш сектор. 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-247649</wp:posOffset>
            </wp:positionH>
            <wp:positionV relativeFrom="paragraph">
              <wp:posOffset>671632</wp:posOffset>
            </wp:positionV>
            <wp:extent cx="1990725" cy="609600"/>
            <wp:effectExtent b="0" l="0" r="0" t="0"/>
            <wp:wrapSquare wrapText="bothSides" distB="114300" distT="114300" distL="114300" distR="11430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609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4572000</wp:posOffset>
            </wp:positionH>
            <wp:positionV relativeFrom="paragraph">
              <wp:posOffset>661987</wp:posOffset>
            </wp:positionV>
            <wp:extent cx="1876425" cy="638175"/>
            <wp:effectExtent b="0" l="0" r="0" t="0"/>
            <wp:wrapSquare wrapText="bothSides" distB="114300" distT="114300" distL="114300" distR="11430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38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9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2152650</wp:posOffset>
            </wp:positionH>
            <wp:positionV relativeFrom="paragraph">
              <wp:posOffset>123705</wp:posOffset>
            </wp:positionV>
            <wp:extent cx="1838325" cy="600075"/>
            <wp:effectExtent b="0" l="0" r="0" t="0"/>
            <wp:wrapSquare wrapText="bothSides" distB="114300" distT="114300" distL="114300" distR="11430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6000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A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Несмотря на то, что вы осознаете опасность климатических изменений, вы также обязаны позаботиться о сохранении акционерной стоимости. Поэтому вы поддерживаете меры, которые позволят сократить выбросы парниковых газов, но при этом не нанесут ущерба компаниям вашего сектора. Несмотря на то, что СО</w:t>
      </w:r>
      <w:r w:rsidDel="00000000" w:rsidR="00000000" w:rsidRPr="00000000">
        <w:rPr>
          <w:rFonts w:ascii="Helvetica Neue" w:cs="Helvetica Neue" w:eastAsia="Helvetica Neue" w:hAnsi="Helvetica Neue"/>
          <w:vertAlign w:val="subscript"/>
          <w:rtl w:val="0"/>
        </w:rPr>
        <w:t xml:space="preserve">2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, выделяющийся при сжигании ископаемого топлива, вносит наибольший вклад в изменение климата, метан (СН</w:t>
      </w:r>
      <w:r w:rsidDel="00000000" w:rsidR="00000000" w:rsidRPr="00000000">
        <w:rPr>
          <w:rFonts w:ascii="Helvetica Neue" w:cs="Helvetica Neue" w:eastAsia="Helvetica Neue" w:hAnsi="Helvetica Neue"/>
          <w:vertAlign w:val="subscript"/>
          <w:rtl w:val="0"/>
        </w:rPr>
        <w:t xml:space="preserve">4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) и оксид азота (N</w:t>
      </w:r>
      <w:r w:rsidDel="00000000" w:rsidR="00000000" w:rsidRPr="00000000">
        <w:rPr>
          <w:rFonts w:ascii="Helvetica Neue" w:cs="Helvetica Neue" w:eastAsia="Helvetica Neue" w:hAnsi="Helvetica Neue"/>
          <w:vertAlign w:val="subscript"/>
          <w:rtl w:val="0"/>
        </w:rPr>
        <w:t xml:space="preserve">2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O) также являются парниковыми газами, и их вклад растет. Объем выбросов этих газов в большой степени зависит от сельскохозяйственных практик и подходов к лесоуправлению. Вы поддерживаете меры, направленные на сокращение выбросов этих парниковых газов, преимущественно в сфере землепользования, сельского и лесного хозяйства. Вы поддерживаете инициативы по борьбе с обезлесением и по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высадке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новых лесов.</w:t>
      </w:r>
    </w:p>
    <w:p w:rsidR="00000000" w:rsidDel="00000000" w:rsidP="00000000" w:rsidRDefault="00000000" w:rsidRPr="00000000" w14:paraId="0000001D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Rule="auto"/>
        <w:ind w:left="-180" w:firstLine="0"/>
        <w:jc w:val="both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Контекст</w:t>
      </w:r>
    </w:p>
    <w:p w:rsidR="00000000" w:rsidDel="00000000" w:rsidP="00000000" w:rsidRDefault="00000000" w:rsidRPr="00000000" w14:paraId="0000001F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Бизнесы, которые вы представляете, возникли во времена недорогой энергии, поэтому ваши бизнес-модели предполагают, что топливо и электроэнергия останутся дешевыми и доступными. Резкое повышение энергоэффективности потребует существенных изменений в культуре работы и новых ресурсов. Повышение цен на топливо может нанести ущерб некоторым из ваших ключевых заинтересованных сторон, включая производителей автомобилей, авиацию и транспортные компании. Некоторые из них не переживут этих изменений. В других отраслях на энергоэффективные товары, наоборот, можно установить более высокую наценку и зарабатывать на этом. Энергоэффективность не только снижает потребление энергии, но и повышает способность общества к восстановлению после катастроф, обусловленных изменением климата. К примеру, дом с хорошей теплоизоляцией будет сохранять тепло даже в том случае, если шторм повалит линию электропередач. Энергоемкость мировой экономики (количество затраченной энергии на единицу реального ВВП) снижается примерно на 1,3% в год, и по прогнозам этот тренд сохранится в ближайшие десятилетия. Некоторые аналитики утверждают, что энергоемкость может снижаться даже на 5-7% в год (при некоторых затратах и не во всех секторах).</w:t>
      </w:r>
    </w:p>
    <w:p w:rsidR="00000000" w:rsidDel="00000000" w:rsidP="00000000" w:rsidRDefault="00000000" w:rsidRPr="00000000" w14:paraId="00000020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Лидеры компаний вашего сектора заявляют, что многие проекты в сфере энергоэффективности имеют короткий период окупаемости и позволяют получить прибыль при минимальных рисках. </w:t>
      </w:r>
      <w:r w:rsidDel="00000000" w:rsidR="00000000" w:rsidRPr="00000000">
        <w:rPr>
          <w:rFonts w:ascii="Helvetica Neue" w:cs="Helvetica Neue" w:eastAsia="Helvetica Neue" w:hAnsi="Helvetica Neue"/>
          <w:highlight w:val="white"/>
          <w:rtl w:val="0"/>
        </w:rPr>
        <w:t xml:space="preserve">Инновационные финансовые механизмы позволяют реинвестировать средства, сэкономленные благодаря низким ценам на энергию, и вкладывать их в новые проекты повышения энергоэффективности, что делает эти проекты финансово привлекательными для заинтересованных сторон.</w:t>
      </w:r>
    </w:p>
    <w:p w:rsidR="00000000" w:rsidDel="00000000" w:rsidP="00000000" w:rsidRDefault="00000000" w:rsidRPr="00000000" w14:paraId="00000021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Глобальный сектор недвижимости растет с беспрецедентной скоростью благодаря росту населения и мировой экономики. По прогнозам в течение последующих 40 лет в мире будет построено 230 млрд квадратных метров новой недвижимости, что означает застройку территории, равной по площади Парижу, каждую неделю. Необходимы новые инициативы и стимулы для того, чтобы, с одной стороны, ускорить переход на энергоэффективные технологии и возобновляемые источники энергии в строительстве, а с другой — модернизировать уже существующие здания. Строительство новых объектов и модернизация существующих может сократить потребление энергии на 25-80% или более, а здания с нулевыми выбросами уже не только возможны, но и прибыльны во многих областях. Представители энергоемкой промышленности, например, производители железа, стали и цемента, повысили энергоэффективность благодаря установке нового оборудования и повторному использованию отходящего тепла. Эффективные и правильно подобранные по размеру двигатели и приводы могут сократить расход энергии на 20-25%. </w:t>
      </w:r>
    </w:p>
    <w:p w:rsidR="00000000" w:rsidDel="00000000" w:rsidP="00000000" w:rsidRDefault="00000000" w:rsidRPr="00000000" w14:paraId="00000022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Несмотря на открывающиеся возможности, вы должны с настороженность относиться к мерам, которые приведут к повышению ваших издержек, включая резкие скачки цен на энергию. Поскольку ваша группа всегда полагалась на инновации, вас привлекают технологические решения для сокращения выбросов парниковых газов, и вы поддерживаете государственные субсидии, которые создают новые возможности для бизнеса.</w:t>
      </w:r>
    </w:p>
    <w:p w:rsidR="00000000" w:rsidDel="00000000" w:rsidP="00000000" w:rsidRDefault="00000000" w:rsidRPr="00000000" w14:paraId="00000023">
      <w:pPr>
        <w:spacing w:after="240" w:befor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Вы осознаете, что мировые объемы выбросов парниковых газов необходимо сократить, чтобы избежать наиболее неблагоприятных последствий изменения климата. Повышение уровня моря, экстремальные погодные условия и возникающая в связи с этим геополитическая нестабильность представляют серьезный риск для ваших цепочек поставок, клиентов и сотрудников. Возрастающий ущерб от климатических изменений также повышает вероятность введения радикальных регулирующих мер, которые приведут к повышению цен на энергию и нанесут ущерб компаниям вашего сектора. Несмотря на то, что вы стараетесь предотвратить введение мер, несправедливо обременяющих ваш сектор, вам также необходимо снижать выбросы парниковых газов и замедлять изменение климата, чтобы остаться прибыльными и выжить в этом меняющемся мире. Говорят, Пол Полман, глава Unilever, однажды сказал: «На мертвой планете не может быть прибыли».</w:t>
      </w:r>
    </w:p>
    <w:sectPr>
      <w:headerReference r:id="rId12" w:type="default"/>
      <w:pgSz w:h="15840" w:w="12240" w:orient="portrait"/>
      <w:pgMar w:bottom="1440" w:top="1440" w:left="1440" w:right="99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/>
      <w:drawing>
        <wp:inline distB="114300" distT="114300" distL="114300" distR="114300">
          <wp:extent cx="5943600" cy="749300"/>
          <wp:effectExtent b="0" l="0" r="0" t="0"/>
          <wp:docPr id="3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49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2" Type="http://schemas.openxmlformats.org/officeDocument/2006/relationships/header" Target="header1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5.png"/><Relationship Id="rId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